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文星标宋"/>
          <w:sz w:val="44"/>
          <w:szCs w:val="44"/>
        </w:rPr>
      </w:pPr>
      <w:bookmarkStart w:id="0" w:name="_GoBack"/>
      <w:bookmarkEnd w:id="0"/>
    </w:p>
    <w:p>
      <w:pPr>
        <w:spacing w:line="560" w:lineRule="exact"/>
        <w:jc w:val="center"/>
        <w:rPr>
          <w:rFonts w:hint="eastAsia" w:ascii="Times New Roman" w:hAnsi="Times New Roman" w:eastAsia="文星标宋"/>
          <w:sz w:val="44"/>
          <w:szCs w:val="44"/>
          <w:lang w:eastAsia="zh-CN"/>
        </w:rPr>
      </w:pPr>
      <w:r>
        <w:rPr>
          <w:rFonts w:hint="eastAsia" w:ascii="Times New Roman" w:hAnsi="Times New Roman" w:eastAsia="文星标宋"/>
          <w:sz w:val="44"/>
          <w:szCs w:val="44"/>
          <w:lang w:eastAsia="zh-CN"/>
        </w:rPr>
        <w:t>新乡市人民政府</w:t>
      </w:r>
      <w:r>
        <w:rPr>
          <w:rFonts w:hint="eastAsia" w:ascii="Times New Roman" w:hAnsi="Times New Roman" w:eastAsia="文星标宋"/>
          <w:sz w:val="44"/>
          <w:szCs w:val="44"/>
        </w:rPr>
        <w:t>关于公布</w:t>
      </w:r>
      <w:r>
        <w:rPr>
          <w:rFonts w:hint="eastAsia" w:ascii="Times New Roman" w:hAnsi="Times New Roman" w:eastAsia="文星标宋"/>
          <w:sz w:val="44"/>
          <w:szCs w:val="44"/>
          <w:lang w:eastAsia="zh-CN"/>
        </w:rPr>
        <w:t>涉企行政</w:t>
      </w:r>
    </w:p>
    <w:p>
      <w:pPr>
        <w:spacing w:line="560" w:lineRule="exact"/>
        <w:jc w:val="center"/>
        <w:rPr>
          <w:rFonts w:ascii="Times New Roman" w:hAnsi="Times New Roman" w:eastAsia="文星标宋"/>
          <w:sz w:val="44"/>
          <w:szCs w:val="44"/>
        </w:rPr>
      </w:pPr>
      <w:r>
        <w:rPr>
          <w:rFonts w:hint="eastAsia" w:ascii="Times New Roman" w:hAnsi="Times New Roman" w:eastAsia="文星标宋"/>
          <w:sz w:val="44"/>
          <w:szCs w:val="44"/>
        </w:rPr>
        <w:t>规范性文件清理结果的决定</w:t>
      </w:r>
    </w:p>
    <w:p>
      <w:pPr>
        <w:spacing w:line="560" w:lineRule="exact"/>
        <w:jc w:val="center"/>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（征求意见稿）</w:t>
      </w:r>
    </w:p>
    <w:p>
      <w:pPr>
        <w:spacing w:line="560" w:lineRule="exact"/>
        <w:jc w:val="center"/>
        <w:rPr>
          <w:rFonts w:hint="eastAsia" w:ascii="Times New Roman" w:hAnsi="Times New Roman" w:eastAsia="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为</w:t>
      </w:r>
      <w:r>
        <w:rPr>
          <w:rFonts w:hint="eastAsia" w:ascii="仿宋_GB2312" w:hAnsi="仿宋_GB2312" w:eastAsia="仿宋_GB2312" w:cs="仿宋_GB2312"/>
          <w:color w:val="000000"/>
          <w:sz w:val="32"/>
          <w:szCs w:val="32"/>
          <w:lang w:eastAsia="zh-CN"/>
        </w:rPr>
        <w:t>进一步</w:t>
      </w:r>
      <w:r>
        <w:rPr>
          <w:rFonts w:hint="eastAsia" w:ascii="仿宋_GB2312" w:hAnsi="仿宋_GB2312" w:eastAsia="仿宋_GB2312" w:cs="仿宋_GB2312"/>
          <w:color w:val="000000"/>
          <w:sz w:val="32"/>
          <w:szCs w:val="32"/>
        </w:rPr>
        <w:t>优化营商环境，保障法制统一和政令畅通，根据</w:t>
      </w:r>
      <w:r>
        <w:rPr>
          <w:rFonts w:hint="eastAsia" w:ascii="仿宋_GB2312" w:hAnsi="仿宋_GB2312" w:eastAsia="仿宋_GB2312" w:cs="仿宋_GB2312"/>
          <w:color w:val="000000"/>
          <w:sz w:val="32"/>
          <w:szCs w:val="32"/>
          <w:lang w:val="en" w:eastAsia="zh-CN"/>
        </w:rPr>
        <w:t>中央、省文件要求</w:t>
      </w:r>
      <w:r>
        <w:rPr>
          <w:rFonts w:hint="eastAsia" w:ascii="仿宋_GB2312" w:hAnsi="仿宋_GB2312" w:eastAsia="仿宋_GB2312" w:cs="仿宋_GB2312"/>
          <w:color w:val="000000"/>
          <w:sz w:val="32"/>
          <w:szCs w:val="32"/>
          <w:lang w:eastAsia="zh-CN"/>
        </w:rPr>
        <w:t>和《新乡市人民政府关于明确政府工作报告提出的</w:t>
      </w:r>
      <w:r>
        <w:rPr>
          <w:rFonts w:hint="eastAsia" w:ascii="仿宋_GB2312" w:hAnsi="仿宋_GB2312" w:eastAsia="仿宋_GB2312" w:cs="仿宋_GB2312"/>
          <w:color w:val="000000"/>
          <w:sz w:val="32"/>
          <w:szCs w:val="32"/>
          <w:lang w:val="en-US" w:eastAsia="zh-CN"/>
        </w:rPr>
        <w:t>2024年重点工作责任单位的通知》（新政〔2024〕3号）</w:t>
      </w:r>
      <w:r>
        <w:rPr>
          <w:rFonts w:hint="eastAsia" w:ascii="仿宋_GB2312" w:hAnsi="仿宋_GB2312" w:eastAsia="仿宋_GB2312" w:cs="仿宋_GB2312"/>
          <w:color w:val="000000"/>
          <w:sz w:val="32"/>
          <w:szCs w:val="32"/>
        </w:rPr>
        <w:t>有关规定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我市出台的</w:t>
      </w:r>
      <w:r>
        <w:rPr>
          <w:rFonts w:hint="eastAsia" w:ascii="仿宋_GB2312" w:hAnsi="仿宋_GB2312" w:eastAsia="仿宋_GB2312" w:cs="仿宋_GB2312"/>
          <w:sz w:val="32"/>
          <w:szCs w:val="32"/>
          <w:lang w:eastAsia="zh-CN"/>
        </w:rPr>
        <w:t>涉企行政规范性文件进行了</w:t>
      </w:r>
      <w:r>
        <w:rPr>
          <w:rFonts w:hint="eastAsia" w:ascii="仿宋_GB2312" w:hAnsi="仿宋_GB2312" w:eastAsia="仿宋_GB2312" w:cs="仿宋_GB2312"/>
          <w:sz w:val="32"/>
          <w:szCs w:val="32"/>
        </w:rPr>
        <w:t>全面清理。现将清理结果公布如下: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新乡市人民政府关于印发</w:t>
      </w:r>
      <w:r>
        <w:rPr>
          <w:rFonts w:hint="eastAsia" w:ascii="Times New Roman" w:hAnsi="Times New Roman" w:eastAsia="仿宋"/>
          <w:sz w:val="32"/>
          <w:szCs w:val="32"/>
        </w:rPr>
        <w:t>&lt;</w:t>
      </w:r>
      <w:r>
        <w:rPr>
          <w:rFonts w:hint="eastAsia" w:ascii="仿宋_GB2312" w:hAnsi="仿宋_GB2312" w:eastAsia="仿宋_GB2312" w:cs="仿宋_GB2312"/>
          <w:sz w:val="32"/>
          <w:szCs w:val="32"/>
        </w:rPr>
        <w:t>新乡市住房制度改革配套文件</w:t>
      </w:r>
      <w:r>
        <w:rPr>
          <w:rFonts w:hint="eastAsia" w:ascii="Times New Roman" w:hAnsi="Times New Roman" w:eastAsia="仿宋"/>
          <w:sz w:val="32"/>
          <w:szCs w:val="32"/>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新政〔1996〕9号</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 w:eastAsia="zh-CN"/>
        </w:rPr>
        <w:t>9</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份规范性文件继续有效。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w:t>
      </w:r>
      <w:r>
        <w:rPr>
          <w:rFonts w:hint="eastAsia" w:ascii="仿宋_GB2312" w:hAnsi="仿宋_GB2312" w:eastAsia="仿宋_GB2312" w:cs="仿宋_GB2312"/>
          <w:sz w:val="32"/>
          <w:szCs w:val="32"/>
          <w:lang w:val="en-US" w:eastAsia="zh-CN"/>
        </w:rPr>
        <w:t xml:space="preserve"> 新乡市人民政府办公室关于开展企业技术改造提升行动促进制造业高质量发展的实施意见 》（新政办〔2022〕17号）</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份规范性文件予以修改。</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新乡市人民政府关于印发</w:t>
      </w:r>
      <w:r>
        <w:rPr>
          <w:rFonts w:hint="eastAsia" w:ascii="Times New Roman" w:hAnsi="Times New Roman" w:eastAsia="仿宋"/>
          <w:sz w:val="32"/>
          <w:szCs w:val="32"/>
        </w:rPr>
        <w:t>&lt;</w:t>
      </w:r>
      <w:r>
        <w:rPr>
          <w:rFonts w:hint="eastAsia" w:ascii="仿宋_GB2312" w:hAnsi="仿宋_GB2312" w:eastAsia="仿宋_GB2312" w:cs="仿宋_GB2312"/>
          <w:sz w:val="32"/>
          <w:szCs w:val="32"/>
          <w:lang w:val="en-US" w:eastAsia="zh-CN"/>
        </w:rPr>
        <w:t>新乡市市级政府投资项目代建制管理办法》(试行)</w:t>
      </w:r>
      <w:r>
        <w:rPr>
          <w:rFonts w:hint="eastAsia" w:ascii="Times New Roman" w:hAnsi="Times New Roman" w:eastAsia="仿宋"/>
          <w:sz w:val="32"/>
          <w:szCs w:val="32"/>
        </w:rPr>
        <w:t>&gt;</w:t>
      </w:r>
      <w:r>
        <w:rPr>
          <w:rFonts w:hint="eastAsia" w:ascii="仿宋_GB2312" w:hAnsi="仿宋_GB2312" w:eastAsia="仿宋_GB2312" w:cs="仿宋_GB2312"/>
          <w:sz w:val="32"/>
          <w:szCs w:val="32"/>
          <w:lang w:val="en-US" w:eastAsia="zh-CN"/>
        </w:rPr>
        <w:t>的通知》（新政〔2008〕11号）</w:t>
      </w:r>
      <w:r>
        <w:rPr>
          <w:rFonts w:hint="eastAsia" w:ascii="仿宋_GB2312" w:hAnsi="仿宋_GB2312" w:eastAsia="仿宋_GB2312" w:cs="仿宋_GB2312"/>
          <w:sz w:val="32"/>
          <w:szCs w:val="32"/>
        </w:rPr>
        <w:t>等</w:t>
      </w:r>
      <w:r>
        <w:rPr>
          <w:rFonts w:hint="default" w:ascii="仿宋_GB2312" w:hAnsi="仿宋_GB2312" w:eastAsia="仿宋_GB2312" w:cs="仿宋_GB2312"/>
          <w:sz w:val="32"/>
          <w:szCs w:val="32"/>
          <w:lang w:val="en" w:eastAsia="zh-CN"/>
        </w:rPr>
        <w:t>2</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份规范性文件宣布废止。</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本决定予以保留、确认继续有效的规范性文件，有关实施部门应当做好跟踪评估工作，及时提出修改、宣布废止的建议，确保规范性文件的合法有效。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
          <w:sz w:val="32"/>
          <w:szCs w:val="32"/>
        </w:rPr>
      </w:pPr>
      <w:r>
        <w:rPr>
          <w:rFonts w:hint="eastAsia" w:ascii="仿宋_GB2312" w:hAnsi="仿宋_GB2312" w:eastAsia="仿宋_GB2312" w:cs="仿宋_GB2312"/>
          <w:sz w:val="32"/>
          <w:szCs w:val="32"/>
        </w:rPr>
        <w:t>　　本决定规定需要修改的规范性文件，</w:t>
      </w:r>
      <w:r>
        <w:rPr>
          <w:rFonts w:hint="eastAsia" w:ascii="仿宋_GB2312" w:hAnsi="仿宋_GB2312" w:eastAsia="仿宋_GB2312" w:cs="仿宋_GB2312"/>
          <w:sz w:val="32"/>
          <w:szCs w:val="32"/>
          <w:lang w:eastAsia="zh-CN"/>
        </w:rPr>
        <w:t>修改内容</w:t>
      </w:r>
      <w:r>
        <w:rPr>
          <w:rFonts w:hint="eastAsia" w:ascii="仿宋_GB2312" w:hAnsi="仿宋_GB2312" w:eastAsia="仿宋_GB2312" w:cs="仿宋_GB2312"/>
          <w:sz w:val="32"/>
          <w:szCs w:val="32"/>
        </w:rPr>
        <w:t>应当在本决定公布之日</w:t>
      </w:r>
      <w:r>
        <w:rPr>
          <w:rFonts w:hint="eastAsia" w:ascii="Times New Roman" w:hAnsi="Times New Roman" w:eastAsia="仿宋"/>
          <w:sz w:val="32"/>
          <w:szCs w:val="32"/>
        </w:rPr>
        <w:t>起施行。</w:t>
      </w:r>
    </w:p>
    <w:p>
      <w:pPr>
        <w:spacing w:line="560" w:lineRule="exact"/>
        <w:rPr>
          <w:rFonts w:ascii="Times New Roman" w:hAnsi="Times New Roman" w:eastAsia="仿宋"/>
          <w:sz w:val="32"/>
          <w:szCs w:val="32"/>
        </w:rPr>
      </w:pPr>
      <w:r>
        <w:rPr>
          <w:rFonts w:hint="eastAsia" w:ascii="Times New Roman" w:hAnsi="Times New Roman" w:eastAsia="仿宋"/>
          <w:sz w:val="32"/>
          <w:szCs w:val="32"/>
        </w:rPr>
        <w:t>　　本决定规定宣布废止的规范性文件，自本决定发布之日起不再执行，各级人民政府、市政府各部门不得再作为行政管理的依据</w:t>
      </w:r>
      <w:r>
        <w:rPr>
          <w:rFonts w:ascii="Times New Roman" w:hAnsi="Times New Roman" w:eastAsia="仿宋"/>
          <w:sz w:val="32"/>
          <w:szCs w:val="32"/>
        </w:rPr>
        <w:t>，</w:t>
      </w:r>
      <w:r>
        <w:rPr>
          <w:rFonts w:hint="eastAsia" w:ascii="Times New Roman" w:hAnsi="Times New Roman" w:eastAsia="仿宋"/>
          <w:sz w:val="32"/>
          <w:szCs w:val="32"/>
        </w:rPr>
        <w:t>并切实做好有关规范性文件废止后的后续管理工作。</w:t>
      </w:r>
    </w:p>
    <w:p>
      <w:pPr>
        <w:spacing w:line="560" w:lineRule="exact"/>
        <w:rPr>
          <w:rFonts w:ascii="Times New Roman" w:hAnsi="Times New Roman" w:eastAsia="仿宋"/>
          <w:sz w:val="32"/>
          <w:szCs w:val="32"/>
        </w:rPr>
      </w:pPr>
      <w:r>
        <w:rPr>
          <w:rFonts w:hint="eastAsia" w:ascii="Times New Roman" w:hAnsi="Times New Roman" w:eastAsia="仿宋"/>
          <w:sz w:val="32"/>
          <w:szCs w:val="32"/>
        </w:rPr>
        <w:t>　　本决定自公布之日起施行</w:t>
      </w:r>
      <w:r>
        <w:rPr>
          <w:rFonts w:hint="eastAsia" w:ascii="Times New Roman" w:hAnsi="Times New Roman" w:eastAsia="仿宋"/>
          <w:sz w:val="32"/>
          <w:szCs w:val="32"/>
          <w:lang w:eastAsia="zh-CN"/>
        </w:rPr>
        <w:t>，此前相关规定与本决定不一致的，以此决定为准</w:t>
      </w:r>
      <w:r>
        <w:rPr>
          <w:rFonts w:hint="eastAsia" w:ascii="Times New Roman" w:hAnsi="Times New Roman" w:eastAsia="仿宋"/>
          <w:sz w:val="32"/>
          <w:szCs w:val="32"/>
        </w:rPr>
        <w:t>。</w:t>
      </w:r>
    </w:p>
    <w:p>
      <w:pPr>
        <w:spacing w:line="560" w:lineRule="exact"/>
        <w:rPr>
          <w:rFonts w:ascii="Times New Roman" w:hAnsi="Times New Roman" w:eastAsia="仿宋"/>
          <w:sz w:val="32"/>
          <w:szCs w:val="32"/>
        </w:rPr>
      </w:pPr>
      <w:r>
        <w:rPr>
          <w:rFonts w:hint="eastAsia" w:ascii="Times New Roman" w:hAnsi="Times New Roman" w:eastAsia="仿宋"/>
          <w:sz w:val="32"/>
          <w:szCs w:val="32"/>
        </w:rPr>
        <w:t>　　</w:t>
      </w:r>
    </w:p>
    <w:p>
      <w:pPr>
        <w:spacing w:line="560" w:lineRule="exact"/>
        <w:rPr>
          <w:rFonts w:hint="eastAsia" w:ascii="Times New Roman" w:hAnsi="Times New Roman" w:eastAsia="仿宋"/>
          <w:sz w:val="32"/>
          <w:szCs w:val="32"/>
        </w:rPr>
      </w:pPr>
      <w:r>
        <w:rPr>
          <w:rFonts w:ascii="Times New Roman" w:hAnsi="Times New Roman" w:eastAsia="仿宋"/>
          <w:sz w:val="32"/>
          <w:szCs w:val="32"/>
        </w:rPr>
        <w:t xml:space="preserve">    </w:t>
      </w:r>
      <w:r>
        <w:rPr>
          <w:rFonts w:hint="eastAsia" w:ascii="Times New Roman" w:hAnsi="Times New Roman" w:eastAsia="仿宋"/>
          <w:sz w:val="32"/>
          <w:szCs w:val="32"/>
        </w:rPr>
        <w:t>附件</w:t>
      </w:r>
      <w:r>
        <w:rPr>
          <w:rFonts w:hint="eastAsia" w:ascii="Times New Roman" w:hAnsi="Times New Roman" w:eastAsia="仿宋"/>
          <w:sz w:val="32"/>
          <w:szCs w:val="32"/>
          <w:lang w:eastAsia="zh-CN"/>
        </w:rPr>
        <w:t>：</w:t>
      </w:r>
      <w:r>
        <w:rPr>
          <w:rFonts w:hint="eastAsia" w:ascii="Times New Roman" w:hAnsi="Times New Roman" w:eastAsia="仿宋"/>
          <w:sz w:val="32"/>
          <w:szCs w:val="32"/>
        </w:rPr>
        <w:t>1.确认继续有效的规范性文件目录(</w:t>
      </w:r>
      <w:r>
        <w:rPr>
          <w:rFonts w:hint="eastAsia" w:ascii="Times New Roman" w:hAnsi="Times New Roman" w:eastAsia="仿宋"/>
          <w:sz w:val="32"/>
          <w:szCs w:val="32"/>
          <w:lang w:val="en-US" w:eastAsia="zh-CN"/>
        </w:rPr>
        <w:t>95</w:t>
      </w:r>
      <w:r>
        <w:rPr>
          <w:rFonts w:hint="eastAsia" w:ascii="Times New Roman" w:hAnsi="Times New Roman" w:eastAsia="仿宋"/>
          <w:sz w:val="32"/>
          <w:szCs w:val="32"/>
        </w:rPr>
        <w:t>份)</w:t>
      </w:r>
    </w:p>
    <w:p>
      <w:pPr>
        <w:spacing w:line="560" w:lineRule="exact"/>
        <w:ind w:firstLine="1600" w:firstLineChars="500"/>
        <w:rPr>
          <w:rFonts w:hint="eastAsia" w:ascii="Times New Roman" w:hAnsi="Times New Roman" w:eastAsia="仿宋"/>
          <w:sz w:val="32"/>
          <w:szCs w:val="32"/>
        </w:rPr>
      </w:pPr>
      <w:r>
        <w:rPr>
          <w:rFonts w:hint="eastAsia" w:ascii="Times New Roman" w:hAnsi="Times New Roman" w:eastAsia="仿宋"/>
          <w:sz w:val="32"/>
          <w:szCs w:val="32"/>
        </w:rPr>
        <w:t>2.需修改的规范性文件目录(</w:t>
      </w:r>
      <w:r>
        <w:rPr>
          <w:rFonts w:hint="eastAsia" w:ascii="Times New Roman" w:hAnsi="Times New Roman" w:eastAsia="仿宋"/>
          <w:sz w:val="32"/>
          <w:szCs w:val="32"/>
          <w:lang w:val="en-US" w:eastAsia="zh-CN"/>
        </w:rPr>
        <w:t>2</w:t>
      </w:r>
      <w:r>
        <w:rPr>
          <w:rFonts w:hint="eastAsia" w:ascii="Times New Roman" w:hAnsi="Times New Roman" w:eastAsia="仿宋"/>
          <w:sz w:val="32"/>
          <w:szCs w:val="32"/>
        </w:rPr>
        <w:t>份)</w:t>
      </w:r>
    </w:p>
    <w:p>
      <w:pPr>
        <w:spacing w:line="560" w:lineRule="exact"/>
        <w:ind w:firstLine="1600" w:firstLineChars="500"/>
        <w:rPr>
          <w:rFonts w:hint="eastAsia" w:ascii="Times New Roman" w:hAnsi="Times New Roman" w:eastAsia="仿宋"/>
          <w:sz w:val="32"/>
          <w:szCs w:val="32"/>
        </w:rPr>
      </w:pPr>
      <w:r>
        <w:rPr>
          <w:rFonts w:hint="eastAsia" w:ascii="Times New Roman" w:hAnsi="Times New Roman" w:eastAsia="仿宋"/>
          <w:sz w:val="32"/>
          <w:szCs w:val="32"/>
        </w:rPr>
        <w:t>3.宣布废止的规范性文件目录(</w:t>
      </w:r>
      <w:r>
        <w:rPr>
          <w:rFonts w:hint="eastAsia" w:ascii="Times New Roman" w:hAnsi="Times New Roman" w:eastAsia="仿宋"/>
          <w:sz w:val="32"/>
          <w:szCs w:val="32"/>
          <w:lang w:val="en-US" w:eastAsia="zh-CN"/>
        </w:rPr>
        <w:t>28</w:t>
      </w:r>
      <w:r>
        <w:rPr>
          <w:rFonts w:hint="eastAsia" w:ascii="Times New Roman" w:hAnsi="Times New Roman" w:eastAsia="仿宋"/>
          <w:sz w:val="32"/>
          <w:szCs w:val="32"/>
        </w:rPr>
        <w:t>份)</w:t>
      </w:r>
    </w:p>
    <w:p>
      <w:pPr>
        <w:spacing w:line="560" w:lineRule="exact"/>
        <w:ind w:firstLine="1600" w:firstLineChars="500"/>
        <w:rPr>
          <w:rFonts w:hint="eastAsia" w:ascii="Times New Roman" w:hAnsi="Times New Roman" w:eastAsia="仿宋"/>
          <w:sz w:val="32"/>
          <w:szCs w:val="32"/>
        </w:rPr>
      </w:pPr>
      <w:r>
        <w:rPr>
          <w:rFonts w:hint="eastAsia" w:ascii="Times New Roman" w:hAnsi="Times New Roman" w:eastAsia="仿宋"/>
          <w:sz w:val="32"/>
          <w:szCs w:val="32"/>
        </w:rPr>
        <w:t>4.规范性文件修改的相关条款</w:t>
      </w:r>
    </w:p>
    <w:p>
      <w:pPr>
        <w:spacing w:line="560" w:lineRule="exact"/>
        <w:rPr>
          <w:rFonts w:ascii="Times New Roman" w:hAnsi="Times New Roman" w:eastAsia="仿宋"/>
          <w:color w:val="0000FF"/>
          <w:sz w:val="32"/>
          <w:szCs w:val="32"/>
        </w:rPr>
      </w:pPr>
      <w:r>
        <w:rPr>
          <w:rFonts w:hint="eastAsia" w:ascii="Times New Roman" w:hAnsi="Times New Roman" w:eastAsia="仿宋"/>
          <w:color w:val="0000FF"/>
          <w:sz w:val="32"/>
          <w:szCs w:val="32"/>
        </w:rPr>
        <w:t>　</w:t>
      </w:r>
    </w:p>
    <w:p>
      <w:pPr>
        <w:spacing w:line="530" w:lineRule="exact"/>
        <w:jc w:val="center"/>
        <w:rPr>
          <w:rFonts w:hint="eastAsia" w:hAnsi="文星标宋" w:eastAsia="文星标宋"/>
          <w:sz w:val="44"/>
          <w:szCs w:val="44"/>
        </w:rPr>
      </w:pPr>
    </w:p>
    <w:p>
      <w:pPr>
        <w:spacing w:line="530" w:lineRule="exact"/>
        <w:jc w:val="center"/>
        <w:rPr>
          <w:rFonts w:hint="eastAsia" w:hAnsi="文星标宋" w:eastAsia="文星标宋"/>
          <w:sz w:val="44"/>
          <w:szCs w:val="44"/>
        </w:rPr>
      </w:pPr>
    </w:p>
    <w:p>
      <w:pPr>
        <w:spacing w:line="530" w:lineRule="exact"/>
        <w:jc w:val="center"/>
        <w:rPr>
          <w:rFonts w:hint="eastAsia" w:hAnsi="文星标宋" w:eastAsia="文星标宋"/>
          <w:sz w:val="44"/>
          <w:szCs w:val="44"/>
        </w:rPr>
      </w:pPr>
    </w:p>
    <w:p>
      <w:pPr>
        <w:spacing w:line="530" w:lineRule="exact"/>
        <w:jc w:val="center"/>
        <w:rPr>
          <w:rFonts w:hint="eastAsia" w:hAnsi="文星标宋" w:eastAsia="文星标宋"/>
          <w:sz w:val="44"/>
          <w:szCs w:val="44"/>
        </w:rPr>
      </w:pPr>
    </w:p>
    <w:p>
      <w:pPr>
        <w:spacing w:line="560" w:lineRule="exact"/>
        <w:ind w:firstLine="5120" w:firstLineChars="1600"/>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新乡市人民政府</w:t>
      </w:r>
    </w:p>
    <w:p>
      <w:pPr>
        <w:spacing w:line="560" w:lineRule="exact"/>
        <w:ind w:firstLine="5760" w:firstLineChars="1800"/>
        <w:rPr>
          <w:rFonts w:hint="default" w:ascii="Times New Roman" w:hAnsi="Times New Roman" w:eastAsia="仿宋"/>
          <w:sz w:val="32"/>
          <w:szCs w:val="32"/>
          <w:lang w:val="en-US" w:eastAsia="zh-CN"/>
        </w:rPr>
      </w:pPr>
      <w:r>
        <w:rPr>
          <w:rFonts w:hint="eastAsia" w:ascii="Times New Roman" w:hAnsi="Times New Roman" w:eastAsia="仿宋"/>
          <w:sz w:val="32"/>
          <w:szCs w:val="32"/>
          <w:lang w:val="en-US" w:eastAsia="zh-CN"/>
        </w:rPr>
        <w:t>2024年 月 日</w:t>
      </w:r>
    </w:p>
    <w:p>
      <w:pPr>
        <w:spacing w:line="530" w:lineRule="exact"/>
        <w:jc w:val="center"/>
        <w:rPr>
          <w:rFonts w:hint="eastAsia" w:hAnsi="文星标宋" w:eastAsia="文星标宋"/>
          <w:sz w:val="44"/>
          <w:szCs w:val="44"/>
        </w:rPr>
      </w:pPr>
    </w:p>
    <w:p>
      <w:pPr>
        <w:spacing w:line="530" w:lineRule="exact"/>
        <w:jc w:val="center"/>
        <w:rPr>
          <w:rFonts w:hint="eastAsia" w:hAnsi="文星标宋" w:eastAsia="文星标宋"/>
          <w:sz w:val="44"/>
          <w:szCs w:val="44"/>
        </w:rPr>
      </w:pPr>
    </w:p>
    <w:p>
      <w:pPr>
        <w:spacing w:line="560" w:lineRule="exact"/>
        <w:rPr>
          <w:rFonts w:hint="eastAsia" w:ascii="宋体" w:hAnsi="宋体" w:eastAsia="宋体" w:cs="宋体"/>
          <w:b/>
          <w:i w:val="0"/>
          <w:caps w:val="0"/>
          <w:color w:val="CC4C1A"/>
          <w:spacing w:val="0"/>
          <w:sz w:val="33"/>
          <w:szCs w:val="33"/>
          <w:shd w:val="clear" w:fill="FFFFFF"/>
        </w:rPr>
      </w:pPr>
    </w:p>
    <w:sectPr>
      <w:headerReference r:id="rId3" w:type="default"/>
      <w:footerReference r:id="rId4" w:type="default"/>
      <w:pgSz w:w="11906" w:h="16838"/>
      <w:pgMar w:top="2098" w:right="1474" w:bottom="1984" w:left="1587" w:header="851" w:footer="1219"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文星标宋">
    <w:panose1 w:val="02010604000101010101"/>
    <w:charset w:val="86"/>
    <w:family w:val="auto"/>
    <w:pitch w:val="default"/>
    <w:sig w:usb0="00000001" w:usb1="080E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1" o:spid="_x0000_s4097" o:spt="202" type="#_x0000_t202" style="position:absolute;left:0pt;margin-top:0pt;height:144pt;width:144pt;mso-position-horizontal:outside;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t>1</w:t>
                </w:r>
                <w:r>
                  <w:rPr>
                    <w:rFonts w:ascii="Times New Roman" w:hAnsi="Times New Roman"/>
                    <w:sz w:val="28"/>
                    <w:szCs w:val="28"/>
                  </w:rPr>
                  <w:fldChar w:fldCharType="end"/>
                </w:r>
                <w:r>
                  <w:rPr>
                    <w:rFonts w:ascii="Times New Roman" w:hAnsi="Times New Roman"/>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sz w:val="18"/>
      </w:rPr>
      <w:pict>
        <v:shape id="PowerPlusWaterMarkObject29865" o:spid="_x0000_s4098" o:spt="136" type="#_x0000_t136" style="position:absolute;left:0pt;height:111.1pt;width:476.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征求意见稿" style="font-family:方正小标宋简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F0CDD"/>
    <w:multiLevelType w:val="singleLevel"/>
    <w:tmpl w:val="BFAF0CD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4B1B"/>
    <w:rsid w:val="0004141C"/>
    <w:rsid w:val="00431265"/>
    <w:rsid w:val="0043536A"/>
    <w:rsid w:val="0059561C"/>
    <w:rsid w:val="006D75C0"/>
    <w:rsid w:val="008F2148"/>
    <w:rsid w:val="00A92029"/>
    <w:rsid w:val="00B53622"/>
    <w:rsid w:val="00CC4B1B"/>
    <w:rsid w:val="06C0422A"/>
    <w:rsid w:val="1E4D28A9"/>
    <w:rsid w:val="24412AA7"/>
    <w:rsid w:val="29C75F1B"/>
    <w:rsid w:val="29FC5C9C"/>
    <w:rsid w:val="2FE369B1"/>
    <w:rsid w:val="31BE6A2B"/>
    <w:rsid w:val="386E454C"/>
    <w:rsid w:val="3AFBCBD8"/>
    <w:rsid w:val="3BBF60B0"/>
    <w:rsid w:val="3CF36D92"/>
    <w:rsid w:val="5AED507A"/>
    <w:rsid w:val="5E151E5B"/>
    <w:rsid w:val="5F6D349F"/>
    <w:rsid w:val="5FFFB03F"/>
    <w:rsid w:val="61097813"/>
    <w:rsid w:val="6D22243A"/>
    <w:rsid w:val="6FFBB2B0"/>
    <w:rsid w:val="75BA5543"/>
    <w:rsid w:val="7C7F2FDD"/>
    <w:rsid w:val="7F553ED5"/>
    <w:rsid w:val="7FB7FCE3"/>
    <w:rsid w:val="89BD02C0"/>
    <w:rsid w:val="89EEB44E"/>
    <w:rsid w:val="9FB82E85"/>
    <w:rsid w:val="B9EB75F8"/>
    <w:rsid w:val="B9FA2FF4"/>
    <w:rsid w:val="CAE7A3B6"/>
    <w:rsid w:val="DEE36A36"/>
    <w:rsid w:val="EEF26E6D"/>
    <w:rsid w:val="EF7AC5AC"/>
    <w:rsid w:val="EFF7082C"/>
    <w:rsid w:val="F4BB82CF"/>
    <w:rsid w:val="FBF433BA"/>
    <w:rsid w:val="FF5FCD99"/>
    <w:rsid w:val="FFBE58C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locked/>
    <w:uiPriority w:val="0"/>
    <w:pPr>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pPr>
    <w:rPr>
      <w:rFonts w:hint="eastAsia" w:ascii="宋体" w:hAnsi="宋体" w:eastAsia="宋体" w:cs="宋体"/>
      <w:kern w:val="0"/>
      <w:sz w:val="21"/>
      <w:szCs w:val="21"/>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7"/>
    <w:semiHidden/>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locked/>
    <w:uiPriority w:val="0"/>
    <w:rPr>
      <w:b/>
    </w:rPr>
  </w:style>
  <w:style w:type="character" w:styleId="9">
    <w:name w:val="FollowedHyperlink"/>
    <w:basedOn w:val="7"/>
    <w:semiHidden/>
    <w:unhideWhenUsed/>
    <w:qFormat/>
    <w:uiPriority w:val="99"/>
    <w:rPr>
      <w:color w:val="333333"/>
      <w:u w:val="none"/>
    </w:rPr>
  </w:style>
  <w:style w:type="character" w:styleId="10">
    <w:name w:val="Emphasis"/>
    <w:basedOn w:val="7"/>
    <w:qFormat/>
    <w:locked/>
    <w:uiPriority w:val="0"/>
  </w:style>
  <w:style w:type="character" w:styleId="11">
    <w:name w:val="HTML Definition"/>
    <w:basedOn w:val="7"/>
    <w:semiHidden/>
    <w:unhideWhenUsed/>
    <w:qFormat/>
    <w:uiPriority w:val="99"/>
    <w:rPr>
      <w:i/>
    </w:rPr>
  </w:style>
  <w:style w:type="character" w:styleId="12">
    <w:name w:val="Hyperlink"/>
    <w:basedOn w:val="7"/>
    <w:semiHidden/>
    <w:unhideWhenUsed/>
    <w:qFormat/>
    <w:uiPriority w:val="99"/>
    <w:rPr>
      <w:color w:val="333333"/>
      <w:u w:val="none"/>
    </w:rPr>
  </w:style>
  <w:style w:type="character" w:styleId="13">
    <w:name w:val="HTML Code"/>
    <w:basedOn w:val="7"/>
    <w:semiHidden/>
    <w:unhideWhenUsed/>
    <w:qFormat/>
    <w:uiPriority w:val="99"/>
    <w:rPr>
      <w:rFonts w:ascii="Consolas" w:hAnsi="Consolas" w:eastAsia="Consolas" w:cs="Consolas"/>
      <w:color w:val="C7254E"/>
      <w:sz w:val="21"/>
      <w:szCs w:val="21"/>
      <w:shd w:val="clear" w:fill="F9F2F4"/>
    </w:rPr>
  </w:style>
  <w:style w:type="character" w:styleId="14">
    <w:name w:val="HTML Keyboard"/>
    <w:basedOn w:val="7"/>
    <w:semiHidden/>
    <w:unhideWhenUsed/>
    <w:qFormat/>
    <w:uiPriority w:val="99"/>
    <w:rPr>
      <w:rFonts w:hint="default" w:ascii="Consolas" w:hAnsi="Consolas" w:eastAsia="Consolas" w:cs="Consolas"/>
      <w:color w:val="FFFFFF"/>
      <w:sz w:val="21"/>
      <w:szCs w:val="21"/>
      <w:shd w:val="clear" w:fill="333333"/>
    </w:rPr>
  </w:style>
  <w:style w:type="character" w:styleId="15">
    <w:name w:val="HTML Sample"/>
    <w:basedOn w:val="7"/>
    <w:semiHidden/>
    <w:unhideWhenUsed/>
    <w:qFormat/>
    <w:uiPriority w:val="99"/>
    <w:rPr>
      <w:rFonts w:hint="default" w:ascii="Consolas" w:hAnsi="Consolas" w:eastAsia="Consolas" w:cs="Consolas"/>
      <w:sz w:val="21"/>
      <w:szCs w:val="21"/>
    </w:rPr>
  </w:style>
  <w:style w:type="character" w:customStyle="1" w:styleId="16">
    <w:name w:val="页脚 Char"/>
    <w:basedOn w:val="7"/>
    <w:link w:val="4"/>
    <w:qFormat/>
    <w:locked/>
    <w:uiPriority w:val="99"/>
    <w:rPr>
      <w:rFonts w:cs="Times New Roman"/>
      <w:sz w:val="18"/>
      <w:szCs w:val="18"/>
    </w:rPr>
  </w:style>
  <w:style w:type="character" w:customStyle="1" w:styleId="17">
    <w:name w:val="页眉 Char"/>
    <w:basedOn w:val="7"/>
    <w:link w:val="5"/>
    <w:qFormat/>
    <w:locked/>
    <w:uiPriority w:val="99"/>
    <w:rPr>
      <w:rFonts w:cs="Times New Roman"/>
      <w:sz w:val="18"/>
      <w:szCs w:val="18"/>
    </w:rPr>
  </w:style>
  <w:style w:type="character" w:customStyle="1" w:styleId="18">
    <w:name w:val="spyx_bszn_icon"/>
    <w:basedOn w:val="7"/>
    <w:qFormat/>
    <w:uiPriority w:val="0"/>
  </w:style>
  <w:style w:type="character" w:customStyle="1" w:styleId="19">
    <w:name w:val="spyx_bszn_icon4"/>
    <w:basedOn w:val="7"/>
    <w:qFormat/>
    <w:uiPriority w:val="0"/>
  </w:style>
  <w:style w:type="character" w:customStyle="1" w:styleId="20">
    <w:name w:val="pic-txt"/>
    <w:basedOn w:val="7"/>
    <w:qFormat/>
    <w:uiPriority w:val="0"/>
  </w:style>
  <w:style w:type="character" w:customStyle="1" w:styleId="21">
    <w:name w:val="pic-txt1"/>
    <w:basedOn w:val="7"/>
    <w:qFormat/>
    <w:uiPriority w:val="0"/>
  </w:style>
  <w:style w:type="character" w:customStyle="1" w:styleId="22">
    <w:name w:val="pic-txt2"/>
    <w:basedOn w:val="7"/>
    <w:qFormat/>
    <w:uiPriority w:val="0"/>
  </w:style>
  <w:style w:type="character" w:customStyle="1" w:styleId="23">
    <w:name w:val="num"/>
    <w:basedOn w:val="7"/>
    <w:qFormat/>
    <w:uiPriority w:val="0"/>
    <w:rPr>
      <w:sz w:val="39"/>
      <w:szCs w:val="39"/>
      <w:shd w:val="clear" w:fill="E8E8E8"/>
    </w:rPr>
  </w:style>
  <w:style w:type="character" w:customStyle="1" w:styleId="24">
    <w:name w:val="spyx_bszn_icon2"/>
    <w:basedOn w:val="7"/>
    <w:qFormat/>
    <w:uiPriority w:val="0"/>
  </w:style>
  <w:style w:type="character" w:customStyle="1" w:styleId="25">
    <w:name w:val="spyx_bszn_icon3"/>
    <w:basedOn w:val="7"/>
    <w:qFormat/>
    <w:uiPriority w:val="0"/>
  </w:style>
  <w:style w:type="character" w:customStyle="1" w:styleId="26">
    <w:name w:val="spyx_bszn_icon5"/>
    <w:basedOn w:val="7"/>
    <w:qFormat/>
    <w:uiPriority w:val="0"/>
  </w:style>
  <w:style w:type="character" w:customStyle="1" w:styleId="27">
    <w:name w:val="spyx_bszn_icon7"/>
    <w:basedOn w:val="7"/>
    <w:qFormat/>
    <w:uiPriority w:val="0"/>
  </w:style>
  <w:style w:type="character" w:customStyle="1" w:styleId="28">
    <w:name w:val="spyx_bszn_icon6"/>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102</Words>
  <Characters>588</Characters>
  <Lines>4</Lines>
  <Paragraphs>1</Paragraphs>
  <TotalTime>0</TotalTime>
  <ScaleCrop>false</ScaleCrop>
  <LinksUpToDate>false</LinksUpToDate>
  <CharactersWithSpaces>689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2019-11-16T11:04:00Z</dcterms:created>
  <dc:creator>user</dc:creator>
  <cp:lastModifiedBy>Administrator</cp:lastModifiedBy>
  <cp:lastPrinted>2024-07-15T16:26:00Z</cp:lastPrinted>
  <dcterms:modified xsi:type="dcterms:W3CDTF">2024-07-17T02:04:20Z</dcterms:modified>
  <dc:title>新乡市人民政府</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01755C004D144EB9A32BD58617E23C22</vt:lpwstr>
  </property>
</Properties>
</file>